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tbl>
      <w:tblPr>
        <w:tblStyle w:val="TableGrid"/>
        <w:tblpPr w:leftFromText="180" w:rightFromText="180" w:vertAnchor="page" w:horzAnchor="page" w:tblpX="1010" w:tblpY="918"/>
        <w:tblW w:w="98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8"/>
        <w:gridCol w:w="3843"/>
      </w:tblGrid>
      <w:tr w:rsidR="00B569F9" w:rsidTr="00B569F9" w14:paraId="581A1C4D" w14:textId="77777777">
        <w:trPr>
          <w:trHeight w:val="1924"/>
        </w:trPr>
        <w:tc>
          <w:tcPr>
            <w:tcW w:w="601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EB3B70" w:rsidP="00EB3B70" w:rsidRDefault="009031BC" w14:paraId="6535F306" w14:textId="73320C21">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t xml:space="preserve"> </w:t>
            </w:r>
          </w:p>
        </w:tc>
        <w:tc>
          <w:tcPr>
            <w:tcW w:w="38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bottom"/>
          </w:tcPr>
          <w:p w:rsidR="009031BC" w:rsidP="00EB3B70" w:rsidRDefault="009031BC" w14:paraId="2DC6C90A" w14:textId="77777777">
            <w:pPr>
              <w:jc w:val="right"/>
              <w:rPr>
                <w:rFonts w:ascii="Verdana" w:hAnsi="Verdana"/>
              </w:rPr>
            </w:pPr>
          </w:p>
          <w:p w:rsidR="009031BC" w:rsidP="00EB3B70" w:rsidRDefault="009031BC" w14:paraId="3B4636A8" w14:textId="77777777">
            <w:pPr>
              <w:jc w:val="right"/>
              <w:rPr>
                <w:rFonts w:ascii="Verdana" w:hAnsi="Verdana"/>
              </w:rPr>
            </w:pPr>
          </w:p>
          <w:p w:rsidR="009031BC" w:rsidP="00EB3B70" w:rsidRDefault="009031BC" w14:paraId="441AD0A1" w14:textId="77777777">
            <w:pPr>
              <w:jc w:val="right"/>
              <w:rPr>
                <w:rFonts w:ascii="Verdana" w:hAnsi="Verdana"/>
              </w:rPr>
            </w:pPr>
          </w:p>
          <w:p w:rsidR="009031BC" w:rsidP="00EB3B70" w:rsidRDefault="009031BC" w14:paraId="668149DF" w14:textId="77777777">
            <w:pPr>
              <w:jc w:val="right"/>
              <w:rPr>
                <w:rFonts w:ascii="Verdana" w:hAnsi="Verdana"/>
              </w:rPr>
            </w:pPr>
          </w:p>
          <w:p w:rsidRPr="009031BC" w:rsidR="00EB3B70" w:rsidP="009031BC" w:rsidRDefault="00EB3B70" w14:paraId="15898759" w14:textId="08FBD59E">
            <w:pPr>
              <w:jc w:val="right"/>
              <w:rPr>
                <w:rFonts w:ascii="Verdana" w:hAnsi="Verdana"/>
              </w:rPr>
            </w:pPr>
            <w:r w:rsidRPr="00C23DE2">
              <w:rPr>
                <w:rFonts w:ascii="Verdana" w:hAnsi="Verdana"/>
              </w:rPr>
              <w:t>OFFICIAL PROTOCOL</w:t>
            </w:r>
          </w:p>
        </w:tc>
      </w:tr>
    </w:tbl>
    <w:p w:rsidR="00520C07" w:rsidP="00C34FF0" w:rsidRDefault="00520C07" w14:paraId="249F6CA3" w14:textId="01DFAFB6">
      <w:pPr>
        <w:rPr>
          <w:rFonts w:ascii="Calibri" w:hAnsi="Calibri" w:cs="Calibri" w:eastAsiaTheme="minorEastAsia"/>
          <w:b/>
          <w:bCs/>
          <w:color w:val="000000"/>
        </w:rPr>
      </w:pPr>
    </w:p>
    <w:p w:rsidR="0011354E" w:rsidP="0011354E" w:rsidRDefault="0011354E" w14:paraId="145BB870" w14:textId="77777777">
      <w:pPr>
        <w:rPr>
          <w:b/>
          <w:bCs/>
          <w:sz w:val="24"/>
          <w:szCs w:val="24"/>
        </w:rPr>
      </w:pPr>
      <w:r>
        <w:rPr>
          <w:b/>
          <w:bCs/>
          <w:sz w:val="24"/>
          <w:szCs w:val="24"/>
        </w:rPr>
        <w:t>EUTHANASIA</w:t>
      </w:r>
      <w:r w:rsidRPr="00091B2A">
        <w:rPr>
          <w:b/>
          <w:bCs/>
          <w:sz w:val="24"/>
          <w:szCs w:val="24"/>
        </w:rPr>
        <w:t xml:space="preserve"> FOR SMALL ANIMAL</w:t>
      </w:r>
    </w:p>
    <w:p w:rsidRPr="00091B2A" w:rsidR="0011354E" w:rsidP="0011354E" w:rsidRDefault="0011354E" w14:paraId="1DBF5344" w14:textId="77777777">
      <w:pPr>
        <w:rPr>
          <w:b/>
          <w:bCs/>
          <w:sz w:val="24"/>
          <w:szCs w:val="24"/>
        </w:rPr>
      </w:pPr>
    </w:p>
    <w:p w:rsidR="0011354E" w:rsidP="0011354E" w:rsidRDefault="0011354E" w14:paraId="4FEA227B" w14:textId="77777777">
      <w:pPr>
        <w:jc w:val="both"/>
        <w:rPr>
          <w:b/>
          <w:sz w:val="24"/>
          <w:szCs w:val="24"/>
        </w:rPr>
      </w:pPr>
      <w:r w:rsidRPr="00091B2A">
        <w:rPr>
          <w:sz w:val="24"/>
          <w:szCs w:val="24"/>
        </w:rPr>
        <w:t xml:space="preserve">Interns and residents must have direct authorization by a senior clinician in each instance before they euthanize a patient. </w:t>
      </w:r>
      <w:r w:rsidRPr="00091B2A">
        <w:rPr>
          <w:b/>
          <w:sz w:val="24"/>
          <w:szCs w:val="24"/>
        </w:rPr>
        <w:t>The client must sign a “Consent for Euthanasia, Necropsy, or Donation” form authorizing the procedure before it happens.</w:t>
      </w:r>
    </w:p>
    <w:p w:rsidRPr="00091B2A" w:rsidR="0011354E" w:rsidP="0011354E" w:rsidRDefault="0011354E" w14:paraId="6439AD29" w14:textId="77777777">
      <w:pPr>
        <w:jc w:val="both"/>
        <w:rPr>
          <w:sz w:val="24"/>
          <w:szCs w:val="24"/>
        </w:rPr>
      </w:pPr>
    </w:p>
    <w:p w:rsidR="0011354E" w:rsidP="0011354E" w:rsidRDefault="0011354E" w14:paraId="13B4EDFE" w14:textId="77777777">
      <w:pPr>
        <w:jc w:val="both"/>
        <w:rPr>
          <w:b/>
          <w:sz w:val="24"/>
          <w:szCs w:val="24"/>
        </w:rPr>
      </w:pPr>
      <w:r w:rsidRPr="00091B2A">
        <w:rPr>
          <w:sz w:val="24"/>
          <w:szCs w:val="24"/>
        </w:rPr>
        <w:t xml:space="preserve">Euthanasia is carried out only by veterinary faculty at the request or consent of the owner. Euthanasia of injured stray animals and laboratory animals may also be required </w:t>
      </w:r>
      <w:r>
        <w:rPr>
          <w:sz w:val="24"/>
          <w:szCs w:val="24"/>
        </w:rPr>
        <w:t>by</w:t>
      </w:r>
      <w:r w:rsidRPr="00091B2A">
        <w:rPr>
          <w:sz w:val="24"/>
          <w:szCs w:val="24"/>
        </w:rPr>
        <w:t xml:space="preserve"> faculty members</w:t>
      </w:r>
      <w:r w:rsidRPr="00091B2A">
        <w:rPr>
          <w:b/>
          <w:sz w:val="24"/>
          <w:szCs w:val="24"/>
        </w:rPr>
        <w:t xml:space="preserve">. Students are </w:t>
      </w:r>
      <w:r w:rsidRPr="00091B2A">
        <w:rPr>
          <w:b/>
          <w:bCs/>
          <w:sz w:val="24"/>
          <w:szCs w:val="24"/>
        </w:rPr>
        <w:t xml:space="preserve">not authorized under any circumstances </w:t>
      </w:r>
      <w:r w:rsidRPr="00091B2A">
        <w:rPr>
          <w:b/>
          <w:sz w:val="24"/>
          <w:szCs w:val="24"/>
        </w:rPr>
        <w:t>to euthanize a patient without direct supervision of a senior clinician.</w:t>
      </w:r>
    </w:p>
    <w:p w:rsidRPr="00091B2A" w:rsidR="0011354E" w:rsidP="0011354E" w:rsidRDefault="0011354E" w14:paraId="1F1AD290" w14:textId="77777777">
      <w:pPr>
        <w:jc w:val="both"/>
        <w:rPr>
          <w:b/>
          <w:sz w:val="24"/>
          <w:szCs w:val="24"/>
        </w:rPr>
      </w:pPr>
    </w:p>
    <w:p w:rsidRPr="00091B2A" w:rsidR="0011354E" w:rsidP="0011354E" w:rsidRDefault="0011354E" w14:paraId="630C9502" w14:textId="77777777">
      <w:pPr>
        <w:jc w:val="both"/>
        <w:rPr>
          <w:sz w:val="24"/>
          <w:szCs w:val="24"/>
        </w:rPr>
      </w:pPr>
      <w:r w:rsidRPr="00091B2A">
        <w:rPr>
          <w:sz w:val="24"/>
          <w:szCs w:val="24"/>
        </w:rPr>
        <w:t>In every case:</w:t>
      </w:r>
    </w:p>
    <w:p w:rsidRPr="00091B2A" w:rsidR="0011354E" w:rsidP="0011354E" w:rsidRDefault="0011354E" w14:paraId="74BD5E7E" w14:textId="77777777">
      <w:pPr>
        <w:pStyle w:val="ListParagraph"/>
        <w:numPr>
          <w:ilvl w:val="0"/>
          <w:numId w:val="50"/>
        </w:numPr>
        <w:spacing w:after="160" w:line="259" w:lineRule="auto"/>
        <w:jc w:val="both"/>
        <w:rPr>
          <w:sz w:val="24"/>
          <w:szCs w:val="24"/>
        </w:rPr>
      </w:pPr>
      <w:r w:rsidRPr="00091B2A">
        <w:rPr>
          <w:sz w:val="24"/>
          <w:szCs w:val="24"/>
        </w:rPr>
        <w:t xml:space="preserve">Make appropriate inquiry regarding ownership to ensure that we are receiving proper authorization to euthanize the animal. </w:t>
      </w:r>
    </w:p>
    <w:p w:rsidRPr="00091B2A" w:rsidR="0011354E" w:rsidP="0011354E" w:rsidRDefault="0011354E" w14:paraId="1FDEEFC7" w14:textId="77777777">
      <w:pPr>
        <w:pStyle w:val="ListParagraph"/>
        <w:numPr>
          <w:ilvl w:val="0"/>
          <w:numId w:val="50"/>
        </w:numPr>
        <w:spacing w:after="160" w:line="259" w:lineRule="auto"/>
        <w:jc w:val="both"/>
        <w:rPr>
          <w:sz w:val="24"/>
          <w:szCs w:val="24"/>
        </w:rPr>
      </w:pPr>
      <w:r w:rsidRPr="00091B2A">
        <w:rPr>
          <w:sz w:val="24"/>
          <w:szCs w:val="24"/>
        </w:rPr>
        <w:t xml:space="preserve">Make certain there is no doubt about the identification of the animal. Always double check. </w:t>
      </w:r>
    </w:p>
    <w:p w:rsidRPr="00091B2A" w:rsidR="0011354E" w:rsidP="0011354E" w:rsidRDefault="0011354E" w14:paraId="46A15D44" w14:textId="77777777">
      <w:pPr>
        <w:pStyle w:val="ListParagraph"/>
        <w:numPr>
          <w:ilvl w:val="0"/>
          <w:numId w:val="50"/>
        </w:numPr>
        <w:spacing w:after="160" w:line="259" w:lineRule="auto"/>
        <w:jc w:val="both"/>
        <w:rPr>
          <w:sz w:val="24"/>
          <w:szCs w:val="24"/>
        </w:rPr>
      </w:pPr>
      <w:r w:rsidRPr="00091B2A">
        <w:rPr>
          <w:sz w:val="24"/>
          <w:szCs w:val="24"/>
        </w:rPr>
        <w:t>Ensure that a proper history regarding rabies exposure has been taken that includes inquiry regarding possible bite wounds or other exposure to humans in the past ten days.</w:t>
      </w:r>
    </w:p>
    <w:p w:rsidR="0011354E" w:rsidP="0011354E" w:rsidRDefault="0011354E" w14:paraId="3783C77B" w14:textId="77777777">
      <w:pPr>
        <w:pStyle w:val="ListParagraph"/>
        <w:numPr>
          <w:ilvl w:val="0"/>
          <w:numId w:val="50"/>
        </w:numPr>
        <w:spacing w:after="160" w:line="259" w:lineRule="auto"/>
        <w:jc w:val="both"/>
        <w:rPr>
          <w:sz w:val="24"/>
          <w:szCs w:val="24"/>
        </w:rPr>
      </w:pPr>
      <w:r>
        <w:rPr>
          <w:sz w:val="24"/>
          <w:szCs w:val="24"/>
        </w:rPr>
        <w:t>Determine how client wants to handle the remains.</w:t>
      </w:r>
    </w:p>
    <w:p w:rsidRPr="00091B2A" w:rsidR="0011354E" w:rsidP="0011354E" w:rsidRDefault="0011354E" w14:paraId="558881FD" w14:textId="77777777">
      <w:pPr>
        <w:pStyle w:val="ListParagraph"/>
        <w:numPr>
          <w:ilvl w:val="0"/>
          <w:numId w:val="50"/>
        </w:numPr>
        <w:spacing w:after="160" w:line="259" w:lineRule="auto"/>
        <w:jc w:val="both"/>
        <w:rPr>
          <w:sz w:val="24"/>
          <w:szCs w:val="24"/>
        </w:rPr>
      </w:pPr>
      <w:r w:rsidRPr="00091B2A">
        <w:rPr>
          <w:sz w:val="24"/>
          <w:szCs w:val="24"/>
        </w:rPr>
        <w:t xml:space="preserve">Offer post mortem examination. </w:t>
      </w:r>
    </w:p>
    <w:p w:rsidRPr="00091B2A" w:rsidR="0011354E" w:rsidP="0011354E" w:rsidRDefault="0011354E" w14:paraId="70EFAB9C" w14:textId="77777777">
      <w:pPr>
        <w:pStyle w:val="ListParagraph"/>
        <w:numPr>
          <w:ilvl w:val="0"/>
          <w:numId w:val="50"/>
        </w:numPr>
        <w:spacing w:after="160" w:line="259" w:lineRule="auto"/>
        <w:jc w:val="both"/>
        <w:rPr>
          <w:sz w:val="24"/>
          <w:szCs w:val="24"/>
        </w:rPr>
      </w:pPr>
      <w:r w:rsidRPr="00091B2A">
        <w:rPr>
          <w:sz w:val="24"/>
          <w:szCs w:val="24"/>
        </w:rPr>
        <w:t xml:space="preserve">Witness the signing of the consent to euthanize statement by the owner. </w:t>
      </w:r>
    </w:p>
    <w:p w:rsidRPr="00091B2A" w:rsidR="0011354E" w:rsidP="0011354E" w:rsidRDefault="0011354E" w14:paraId="359784AC" w14:textId="77777777">
      <w:pPr>
        <w:pStyle w:val="ListParagraph"/>
        <w:numPr>
          <w:ilvl w:val="0"/>
          <w:numId w:val="50"/>
        </w:numPr>
        <w:spacing w:after="160" w:line="259" w:lineRule="auto"/>
        <w:jc w:val="both"/>
        <w:rPr>
          <w:sz w:val="24"/>
          <w:szCs w:val="24"/>
        </w:rPr>
      </w:pPr>
      <w:r w:rsidRPr="00091B2A">
        <w:rPr>
          <w:sz w:val="24"/>
          <w:szCs w:val="24"/>
        </w:rPr>
        <w:t xml:space="preserve">The euthanasia process should be conducted with professionalism and compassion. </w:t>
      </w:r>
    </w:p>
    <w:p w:rsidRPr="00881118" w:rsidR="0011354E" w:rsidP="0011354E" w:rsidRDefault="0011354E" w14:paraId="10C97DD9" w14:textId="77777777">
      <w:pPr>
        <w:pStyle w:val="ListParagraph"/>
        <w:numPr>
          <w:ilvl w:val="0"/>
          <w:numId w:val="50"/>
        </w:numPr>
        <w:spacing w:after="160" w:line="259" w:lineRule="auto"/>
        <w:jc w:val="both"/>
        <w:rPr>
          <w:sz w:val="24"/>
          <w:szCs w:val="24"/>
        </w:rPr>
      </w:pPr>
      <w:r w:rsidRPr="00881118">
        <w:rPr>
          <w:sz w:val="24"/>
          <w:szCs w:val="24"/>
        </w:rPr>
        <w:t>Clients should be console</w:t>
      </w:r>
      <w:r>
        <w:rPr>
          <w:sz w:val="24"/>
          <w:szCs w:val="24"/>
        </w:rPr>
        <w:t>d and offered grief counseling, if appropriate.</w:t>
      </w:r>
    </w:p>
    <w:p w:rsidR="0011354E" w:rsidP="0011354E" w:rsidRDefault="0011354E" w14:paraId="1CEDACA0" w14:textId="77777777">
      <w:pPr>
        <w:pStyle w:val="ListParagraph"/>
        <w:numPr>
          <w:ilvl w:val="0"/>
          <w:numId w:val="50"/>
        </w:numPr>
        <w:spacing w:after="160" w:line="259" w:lineRule="auto"/>
        <w:jc w:val="both"/>
        <w:rPr>
          <w:sz w:val="24"/>
          <w:szCs w:val="24"/>
        </w:rPr>
      </w:pPr>
      <w:r>
        <w:rPr>
          <w:sz w:val="24"/>
          <w:szCs w:val="24"/>
        </w:rPr>
        <w:t>A final patient report should be completed by the clinician.</w:t>
      </w:r>
    </w:p>
    <w:p w:rsidR="0011354E" w:rsidP="0011354E" w:rsidRDefault="0011354E" w14:paraId="650431D7" w14:textId="77777777">
      <w:pPr>
        <w:jc w:val="both"/>
        <w:rPr>
          <w:sz w:val="24"/>
          <w:szCs w:val="24"/>
        </w:rPr>
      </w:pPr>
      <w:r>
        <w:rPr>
          <w:sz w:val="24"/>
          <w:szCs w:val="24"/>
        </w:rPr>
        <w:t xml:space="preserve">Clients who have had patients seen at the VHC in the past year and are in good financial standing (no past balances, no collections issues) will be given the option to pay at the time of euthanasia or to be billed at a later date.  This option should also be given to clients whose patient is an inpatient with a current deposit collected. </w:t>
      </w:r>
    </w:p>
    <w:p w:rsidR="0011354E" w:rsidP="0011354E" w:rsidRDefault="0011354E" w14:paraId="6CF8FC64" w14:textId="77777777">
      <w:pPr>
        <w:jc w:val="both"/>
        <w:rPr>
          <w:sz w:val="24"/>
          <w:szCs w:val="24"/>
        </w:rPr>
      </w:pPr>
    </w:p>
    <w:p w:rsidR="0011354E" w:rsidP="0011354E" w:rsidRDefault="0011354E" w14:paraId="26F768C3" w14:textId="77777777">
      <w:pPr>
        <w:jc w:val="both"/>
        <w:rPr>
          <w:sz w:val="24"/>
          <w:szCs w:val="24"/>
        </w:rPr>
      </w:pPr>
      <w:r>
        <w:rPr>
          <w:sz w:val="24"/>
          <w:szCs w:val="24"/>
        </w:rPr>
        <w:t xml:space="preserve">For new clients or </w:t>
      </w:r>
      <w:r w:rsidRPr="00F43DFC">
        <w:rPr>
          <w:sz w:val="24"/>
          <w:szCs w:val="24"/>
        </w:rPr>
        <w:t>established client</w:t>
      </w:r>
      <w:r>
        <w:rPr>
          <w:sz w:val="24"/>
          <w:szCs w:val="24"/>
        </w:rPr>
        <w:t>s</w:t>
      </w:r>
      <w:r w:rsidRPr="00F43DFC">
        <w:rPr>
          <w:sz w:val="24"/>
          <w:szCs w:val="24"/>
        </w:rPr>
        <w:t xml:space="preserve"> who elect to pay</w:t>
      </w:r>
      <w:r>
        <w:rPr>
          <w:sz w:val="24"/>
          <w:szCs w:val="24"/>
        </w:rPr>
        <w:t xml:space="preserve"> at the time of euthanasia, please follow the protocol below:</w:t>
      </w:r>
    </w:p>
    <w:p w:rsidRPr="00091B2A" w:rsidR="0011354E" w:rsidP="0011354E" w:rsidRDefault="0011354E" w14:paraId="7C7AD1FC" w14:textId="77777777">
      <w:pPr>
        <w:numPr>
          <w:ilvl w:val="0"/>
          <w:numId w:val="49"/>
        </w:numPr>
        <w:ind w:left="630"/>
        <w:jc w:val="both"/>
        <w:rPr>
          <w:rFonts w:eastAsia="Times New Roman" w:cs="Times New Roman"/>
          <w:sz w:val="24"/>
          <w:szCs w:val="24"/>
        </w:rPr>
      </w:pPr>
      <w:r w:rsidRPr="00091B2A">
        <w:rPr>
          <w:rFonts w:eastAsia="Times New Roman" w:cs="Times New Roman"/>
          <w:sz w:val="24"/>
          <w:szCs w:val="24"/>
        </w:rPr>
        <w:t>Once the decision to euthanize a pet has been made, the s</w:t>
      </w:r>
      <w:r>
        <w:rPr>
          <w:rFonts w:eastAsia="Times New Roman" w:cs="Times New Roman"/>
          <w:sz w:val="24"/>
          <w:szCs w:val="24"/>
        </w:rPr>
        <w:t>upervising clinician, nurse</w:t>
      </w:r>
      <w:r w:rsidRPr="00091B2A">
        <w:rPr>
          <w:rFonts w:eastAsia="Times New Roman" w:cs="Times New Roman"/>
          <w:sz w:val="24"/>
          <w:szCs w:val="24"/>
        </w:rPr>
        <w:t xml:space="preserve"> or assistant will review the invoice and medical record to ensure all charges have been entered. </w:t>
      </w:r>
      <w:r w:rsidRPr="00091B2A">
        <w:rPr>
          <w:rFonts w:eastAsia="Times New Roman" w:cs="Times New Roman"/>
          <w:b/>
          <w:sz w:val="24"/>
          <w:szCs w:val="24"/>
        </w:rPr>
        <w:t>Review with an auditor when possible.</w:t>
      </w:r>
      <w:r w:rsidRPr="00091B2A">
        <w:rPr>
          <w:rFonts w:eastAsia="Times New Roman" w:cs="Times New Roman"/>
          <w:sz w:val="24"/>
          <w:szCs w:val="24"/>
        </w:rPr>
        <w:t xml:space="preserve"> </w:t>
      </w:r>
    </w:p>
    <w:p w:rsidR="0011354E" w:rsidP="0011354E" w:rsidRDefault="0011354E" w14:paraId="0ED6A5E3" w14:textId="77777777">
      <w:pPr>
        <w:numPr>
          <w:ilvl w:val="0"/>
          <w:numId w:val="49"/>
        </w:numPr>
        <w:ind w:left="630"/>
        <w:jc w:val="both"/>
        <w:rPr>
          <w:rFonts w:eastAsia="Times New Roman" w:cs="Times New Roman"/>
          <w:sz w:val="24"/>
          <w:szCs w:val="24"/>
        </w:rPr>
      </w:pPr>
      <w:r w:rsidRPr="00091B2A">
        <w:rPr>
          <w:rFonts w:eastAsia="Times New Roman" w:cs="Times New Roman"/>
          <w:sz w:val="24"/>
          <w:szCs w:val="24"/>
        </w:rPr>
        <w:lastRenderedPageBreak/>
        <w:t xml:space="preserve">The auditor will review the charges and notify the clinician by text page that all of the charges are entered into the client’s file. Please allow a minimum of 30 minutes for the audit process. </w:t>
      </w:r>
    </w:p>
    <w:p w:rsidRPr="00091B2A" w:rsidR="0011354E" w:rsidP="0011354E" w:rsidRDefault="0011354E" w14:paraId="5BA6BA53" w14:textId="4B42C9C2">
      <w:pPr>
        <w:numPr>
          <w:ilvl w:val="0"/>
          <w:numId w:val="49"/>
        </w:numPr>
        <w:ind w:left="630"/>
        <w:jc w:val="both"/>
        <w:rPr>
          <w:rFonts w:eastAsia="Times New Roman" w:cs="Times New Roman"/>
          <w:sz w:val="24"/>
          <w:szCs w:val="24"/>
        </w:rPr>
      </w:pPr>
      <w:r w:rsidRPr="56F2C2D4" w:rsidR="0011354E">
        <w:rPr>
          <w:rFonts w:eastAsia="Times New Roman" w:cs="Times New Roman"/>
          <w:sz w:val="24"/>
          <w:szCs w:val="24"/>
        </w:rPr>
        <w:t xml:space="preserve">The client will be taken to the room where the procedure is to take place. The preference is to use </w:t>
      </w:r>
      <w:r w:rsidRPr="56F2C2D4" w:rsidR="4CCC0B45">
        <w:rPr>
          <w:rFonts w:eastAsia="Times New Roman" w:cs="Times New Roman"/>
          <w:sz w:val="24"/>
          <w:szCs w:val="24"/>
        </w:rPr>
        <w:t>a</w:t>
      </w:r>
      <w:r w:rsidRPr="56F2C2D4" w:rsidR="0011354E">
        <w:rPr>
          <w:rFonts w:eastAsia="Times New Roman" w:cs="Times New Roman"/>
          <w:sz w:val="24"/>
          <w:szCs w:val="24"/>
        </w:rPr>
        <w:t xml:space="preserve"> dedicated</w:t>
      </w:r>
      <w:r w:rsidRPr="56F2C2D4" w:rsidR="4B9E8EB0">
        <w:rPr>
          <w:rFonts w:eastAsia="Times New Roman" w:cs="Times New Roman"/>
          <w:sz w:val="24"/>
          <w:szCs w:val="24"/>
        </w:rPr>
        <w:t xml:space="preserve"> comfort room or a room without windows</w:t>
      </w:r>
      <w:r w:rsidRPr="56F2C2D4" w:rsidR="0011354E">
        <w:rPr>
          <w:rFonts w:eastAsia="Times New Roman" w:cs="Times New Roman"/>
          <w:sz w:val="24"/>
          <w:szCs w:val="24"/>
        </w:rPr>
        <w:t xml:space="preserve">. </w:t>
      </w:r>
    </w:p>
    <w:p w:rsidR="0011354E" w:rsidP="0011354E" w:rsidRDefault="0011354E" w14:paraId="2646D939" w14:textId="77777777">
      <w:pPr>
        <w:numPr>
          <w:ilvl w:val="0"/>
          <w:numId w:val="49"/>
        </w:numPr>
        <w:ind w:left="630"/>
        <w:jc w:val="both"/>
        <w:rPr>
          <w:rFonts w:eastAsia="Times New Roman" w:cs="Times New Roman"/>
          <w:sz w:val="24"/>
          <w:szCs w:val="24"/>
        </w:rPr>
      </w:pPr>
      <w:r w:rsidRPr="00091B2A">
        <w:rPr>
          <w:rFonts w:eastAsia="Times New Roman" w:cs="Times New Roman"/>
          <w:sz w:val="24"/>
          <w:szCs w:val="24"/>
        </w:rPr>
        <w:t xml:space="preserve">Ensure that the patient has been properly identified, the bite history has been obtained, and that the consent to euthanize form has been signed. </w:t>
      </w:r>
    </w:p>
    <w:p w:rsidRPr="00091B2A" w:rsidR="0011354E" w:rsidP="0011354E" w:rsidRDefault="0011354E" w14:paraId="070815BC" w14:textId="77777777">
      <w:pPr>
        <w:numPr>
          <w:ilvl w:val="0"/>
          <w:numId w:val="49"/>
        </w:numPr>
        <w:ind w:left="630"/>
        <w:jc w:val="both"/>
        <w:rPr>
          <w:rFonts w:eastAsia="Times New Roman" w:cs="Times New Roman"/>
          <w:sz w:val="24"/>
          <w:szCs w:val="24"/>
        </w:rPr>
      </w:pPr>
      <w:r>
        <w:rPr>
          <w:rFonts w:eastAsia="Times New Roman" w:cs="Times New Roman"/>
          <w:sz w:val="24"/>
          <w:szCs w:val="24"/>
        </w:rPr>
        <w:t xml:space="preserve">The clinician, nurse, or assistant should discuss options for post mortem examination and how to handle the remains. </w:t>
      </w:r>
      <w:r w:rsidRPr="00091B2A">
        <w:rPr>
          <w:rFonts w:eastAsia="Times New Roman" w:cs="Times New Roman"/>
          <w:b/>
          <w:sz w:val="24"/>
          <w:szCs w:val="24"/>
          <w:u w:val="single"/>
        </w:rPr>
        <w:t>A Euthanasia and Cremation tic sheet has been created to order services.</w:t>
      </w:r>
      <w:r w:rsidRPr="00091B2A">
        <w:rPr>
          <w:rFonts w:eastAsia="Times New Roman" w:cs="Times New Roman"/>
          <w:b/>
          <w:sz w:val="24"/>
          <w:szCs w:val="24"/>
        </w:rPr>
        <w:t xml:space="preserve">  </w:t>
      </w:r>
      <w:r w:rsidRPr="00091B2A">
        <w:rPr>
          <w:rFonts w:eastAsia="Times New Roman" w:cs="Times New Roman"/>
          <w:sz w:val="24"/>
          <w:szCs w:val="24"/>
        </w:rPr>
        <w:t>These forms are available at the Emergency/Discharge Desk.</w:t>
      </w:r>
    </w:p>
    <w:p w:rsidR="0011354E" w:rsidP="0011354E" w:rsidRDefault="0011354E" w14:paraId="5C367F59" w14:textId="77777777">
      <w:pPr>
        <w:numPr>
          <w:ilvl w:val="0"/>
          <w:numId w:val="49"/>
        </w:numPr>
        <w:ind w:left="630"/>
        <w:jc w:val="both"/>
        <w:rPr>
          <w:rFonts w:eastAsia="Times New Roman" w:cs="Times New Roman"/>
          <w:sz w:val="24"/>
          <w:szCs w:val="24"/>
        </w:rPr>
      </w:pPr>
      <w:r w:rsidRPr="00D86B60">
        <w:rPr>
          <w:rFonts w:eastAsia="Times New Roman" w:cs="Times New Roman"/>
          <w:sz w:val="24"/>
          <w:szCs w:val="24"/>
        </w:rPr>
        <w:t xml:space="preserve">The pet will be prepared for the euthanasia procedure as directed by the clinician. </w:t>
      </w:r>
    </w:p>
    <w:p w:rsidRPr="00D86B60" w:rsidR="0011354E" w:rsidP="0011354E" w:rsidRDefault="0011354E" w14:paraId="31C0600F" w14:textId="77777777">
      <w:pPr>
        <w:numPr>
          <w:ilvl w:val="0"/>
          <w:numId w:val="49"/>
        </w:numPr>
        <w:ind w:left="630"/>
        <w:jc w:val="both"/>
        <w:rPr>
          <w:rFonts w:eastAsia="Times New Roman" w:cs="Times New Roman"/>
          <w:sz w:val="24"/>
          <w:szCs w:val="24"/>
        </w:rPr>
      </w:pPr>
      <w:r w:rsidRPr="00D86B60">
        <w:rPr>
          <w:rFonts w:eastAsia="Times New Roman" w:cs="Times New Roman"/>
          <w:sz w:val="24"/>
          <w:szCs w:val="24"/>
        </w:rPr>
        <w:t xml:space="preserve">The clinician or other staff member will notify the desk staff that all charges have been entered/audited and will bring the client to the desk to collect payment. </w:t>
      </w:r>
    </w:p>
    <w:p w:rsidRPr="00091B2A" w:rsidR="0011354E" w:rsidP="0011354E" w:rsidRDefault="0011354E" w14:paraId="3C31FA6A" w14:textId="77777777">
      <w:pPr>
        <w:numPr>
          <w:ilvl w:val="0"/>
          <w:numId w:val="49"/>
        </w:numPr>
        <w:ind w:left="630"/>
        <w:jc w:val="both"/>
        <w:rPr>
          <w:rFonts w:eastAsia="Times New Roman" w:cs="Times New Roman"/>
          <w:sz w:val="24"/>
          <w:szCs w:val="24"/>
        </w:rPr>
      </w:pPr>
      <w:r w:rsidRPr="00091B2A">
        <w:rPr>
          <w:rFonts w:eastAsia="Times New Roman" w:cs="Times New Roman"/>
          <w:sz w:val="24"/>
          <w:szCs w:val="24"/>
        </w:rPr>
        <w:t xml:space="preserve">Staff members will make every effort to be sensitive to client needs and emotions. </w:t>
      </w:r>
    </w:p>
    <w:p w:rsidRPr="00091B2A" w:rsidR="0011354E" w:rsidP="0011354E" w:rsidRDefault="0011354E" w14:paraId="64607B9D" w14:textId="77777777">
      <w:pPr>
        <w:numPr>
          <w:ilvl w:val="0"/>
          <w:numId w:val="49"/>
        </w:numPr>
        <w:ind w:left="630"/>
        <w:jc w:val="both"/>
        <w:rPr>
          <w:rFonts w:eastAsia="Times New Roman" w:cs="Times New Roman"/>
          <w:sz w:val="24"/>
          <w:szCs w:val="24"/>
        </w:rPr>
      </w:pPr>
      <w:r w:rsidRPr="00091B2A">
        <w:rPr>
          <w:rFonts w:eastAsia="Times New Roman" w:cs="Times New Roman"/>
          <w:sz w:val="24"/>
          <w:szCs w:val="24"/>
        </w:rPr>
        <w:t xml:space="preserve">The pet should be brought to the room and the client allowed to spend personal, uninterrupted time with the pet. </w:t>
      </w:r>
    </w:p>
    <w:p w:rsidRPr="00091B2A" w:rsidR="0011354E" w:rsidP="0011354E" w:rsidRDefault="0011354E" w14:paraId="64731E55" w14:textId="77777777">
      <w:pPr>
        <w:numPr>
          <w:ilvl w:val="0"/>
          <w:numId w:val="49"/>
        </w:numPr>
        <w:ind w:left="630"/>
        <w:jc w:val="both"/>
        <w:rPr>
          <w:rFonts w:eastAsia="Times New Roman" w:cs="Times New Roman"/>
          <w:sz w:val="24"/>
          <w:szCs w:val="24"/>
        </w:rPr>
      </w:pPr>
      <w:r w:rsidRPr="00091B2A">
        <w:rPr>
          <w:rFonts w:eastAsia="Times New Roman" w:cs="Times New Roman"/>
          <w:sz w:val="24"/>
          <w:szCs w:val="24"/>
        </w:rPr>
        <w:t xml:space="preserve">The clinician enters the room and the euthanasia process is completed. The client exits the VHC without having to stop at the discharge desk. </w:t>
      </w:r>
    </w:p>
    <w:p w:rsidR="0011354E" w:rsidP="0011354E" w:rsidRDefault="0011354E" w14:paraId="2F5F9D17" w14:textId="77777777"/>
    <w:p w:rsidR="0011354E" w:rsidP="00C34FF0" w:rsidRDefault="0011354E" w14:paraId="7D648553" w14:textId="77777777">
      <w:pPr>
        <w:rPr>
          <w:rFonts w:cs="Calibri"/>
        </w:rPr>
      </w:pPr>
      <w:bookmarkStart w:name="_GoBack" w:id="0"/>
      <w:bookmarkEnd w:id="0"/>
    </w:p>
    <w:sectPr w:rsidR="0011354E" w:rsidSect="00AD203F">
      <w:footerReference w:type="default" r:id="rId9"/>
      <w:pgSz w:w="12240" w:h="15840" w:orient="portrait"/>
      <w:pgMar w:top="1440" w:right="1440" w:bottom="900" w:left="1440" w:header="720" w:footer="720" w:gutter="0"/>
      <w:cols w:space="720"/>
      <w:docGrid w:linePitch="360"/>
      <w:headerReference w:type="default" r:id="R0e7dc28547ca40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30" w:rsidP="00DD23B0" w:rsidRDefault="00640130" w14:paraId="4D6DC501" w14:textId="77777777">
      <w:r>
        <w:separator/>
      </w:r>
    </w:p>
  </w:endnote>
  <w:endnote w:type="continuationSeparator" w:id="0">
    <w:p w:rsidR="00640130" w:rsidP="00DD23B0" w:rsidRDefault="00640130" w14:paraId="2B96DE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1354E" w:rsidR="00DD23B0" w:rsidP="56F2C2D4" w:rsidRDefault="0011354E" w14:paraId="271FF395" w14:textId="46756371">
    <w:pPr>
      <w:pStyle w:val="Footer"/>
      <w:rPr>
        <w:i w:val="1"/>
        <w:iCs w:val="1"/>
      </w:rPr>
    </w:pPr>
    <w:r w:rsidRPr="56F2C2D4" w:rsidR="56F2C2D4">
      <w:rPr>
        <w:i w:val="1"/>
        <w:iCs w:val="1"/>
      </w:rPr>
      <w:t>Approved by Hospital Board</w:t>
    </w:r>
    <w:r w:rsidRPr="56F2C2D4" w:rsidR="56F2C2D4">
      <w:rPr>
        <w:i w:val="1"/>
        <w:iCs w:val="1"/>
      </w:rPr>
      <w:t xml:space="preserve"> 11/5/2019</w:t>
    </w:r>
    <w:r>
      <w:tab/>
    </w:r>
    <w:r w:rsidRPr="56F2C2D4" w:rsidR="56F2C2D4">
      <w:rPr>
        <w:i w:val="1"/>
        <w:iCs w:val="1"/>
      </w:rPr>
      <w:t xml:space="preserve">                                                                              Reviewed 9/21/2023</w:t>
    </w:r>
    <w:r w:rsidRPr="000F7EBB">
      <w:rPr>
        <w:i/>
      </w:rPr>
      <w:ptab w:alignment="center" w:relativeTo="margin" w:leader="none"/>
    </w:r>
    <w:r w:rsidRPr="000F7EBB">
      <w:rPr>
        <w:i/>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30" w:rsidP="00DD23B0" w:rsidRDefault="00640130" w14:paraId="43B1F6EF" w14:textId="77777777">
      <w:r>
        <w:separator/>
      </w:r>
    </w:p>
  </w:footnote>
  <w:footnote w:type="continuationSeparator" w:id="0">
    <w:p w:rsidR="00640130" w:rsidP="00DD23B0" w:rsidRDefault="00640130" w14:paraId="4603FA71"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F2C2D4" w:rsidTr="56F2C2D4" w14:paraId="1556FBE7">
      <w:trPr>
        <w:trHeight w:val="300"/>
      </w:trPr>
      <w:tc>
        <w:tcPr>
          <w:tcW w:w="3120" w:type="dxa"/>
          <w:tcMar/>
        </w:tcPr>
        <w:p w:rsidR="56F2C2D4" w:rsidP="56F2C2D4" w:rsidRDefault="56F2C2D4" w14:paraId="73AADAF7" w14:textId="48466C5D">
          <w:pPr>
            <w:pStyle w:val="Header"/>
            <w:bidi w:val="0"/>
            <w:ind w:left="-115"/>
            <w:jc w:val="left"/>
          </w:pPr>
        </w:p>
      </w:tc>
      <w:tc>
        <w:tcPr>
          <w:tcW w:w="3120" w:type="dxa"/>
          <w:tcMar/>
        </w:tcPr>
        <w:p w:rsidR="56F2C2D4" w:rsidP="56F2C2D4" w:rsidRDefault="56F2C2D4" w14:paraId="5B7FE2EE" w14:textId="220BB83B">
          <w:pPr>
            <w:pStyle w:val="Header"/>
            <w:bidi w:val="0"/>
            <w:jc w:val="center"/>
          </w:pPr>
        </w:p>
      </w:tc>
      <w:tc>
        <w:tcPr>
          <w:tcW w:w="3120" w:type="dxa"/>
          <w:tcMar/>
        </w:tcPr>
        <w:p w:rsidR="56F2C2D4" w:rsidP="56F2C2D4" w:rsidRDefault="56F2C2D4" w14:paraId="44620821" w14:textId="457587F0">
          <w:pPr>
            <w:pStyle w:val="Header"/>
            <w:bidi w:val="0"/>
            <w:ind w:right="-115"/>
            <w:jc w:val="right"/>
          </w:pPr>
        </w:p>
      </w:tc>
    </w:tr>
  </w:tbl>
  <w:p w:rsidR="56F2C2D4" w:rsidP="56F2C2D4" w:rsidRDefault="56F2C2D4" w14:paraId="55478C7F" w14:textId="55B7805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7A4"/>
    <w:multiLevelType w:val="hybridMultilevel"/>
    <w:tmpl w:val="9B30F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67E39BD"/>
    <w:multiLevelType w:val="hybridMultilevel"/>
    <w:tmpl w:val="9E9A1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3620A"/>
    <w:multiLevelType w:val="hybridMultilevel"/>
    <w:tmpl w:val="6060D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0071A"/>
    <w:multiLevelType w:val="hybridMultilevel"/>
    <w:tmpl w:val="291A4C5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BA576A1"/>
    <w:multiLevelType w:val="hybridMultilevel"/>
    <w:tmpl w:val="E9E0DE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7"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hint="default" w:ascii="Times New Roman" w:hAnsi="Times New Roman"/>
        <w:b/>
        <w:i w:val="0"/>
        <w:sz w:val="32"/>
      </w:rPr>
    </w:lvl>
    <w:lvl w:ilvl="1">
      <w:start w:val="1"/>
      <w:numFmt w:val="none"/>
      <w:pStyle w:val="Heading2"/>
      <w:suff w:val="nothing"/>
      <w:lvlText w:val=""/>
      <w:lvlJc w:val="left"/>
      <w:pPr>
        <w:ind w:left="0" w:firstLine="0"/>
      </w:pPr>
      <w:rPr>
        <w:rFonts w:hint="default" w:ascii="Times New Roman" w:hAnsi="Times New Roman"/>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hAnsi="Times New Roman" w:eastAsia="Times New Roman" w:cs="Times New Roman"/>
      </w:rPr>
    </w:lvl>
    <w:lvl w:ilvl="1" w:tplc="3ADED926">
      <w:start w:val="2"/>
      <w:numFmt w:val="bullet"/>
      <w:lvlText w:val="·"/>
      <w:lvlJc w:val="left"/>
      <w:pPr>
        <w:tabs>
          <w:tab w:val="num" w:pos="2535"/>
        </w:tabs>
        <w:ind w:left="2535" w:hanging="375"/>
      </w:pPr>
      <w:rPr>
        <w:rFonts w:hint="default" w:ascii="Symbol" w:hAnsi="Symbol" w:eastAsia="Times New Roman" w:cs="Times New Roman"/>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3" w15:restartNumberingAfterBreak="0">
    <w:nsid w:val="191D35E6"/>
    <w:multiLevelType w:val="hybridMultilevel"/>
    <w:tmpl w:val="10C4A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6"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7"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6176E25"/>
    <w:multiLevelType w:val="hybridMultilevel"/>
    <w:tmpl w:val="0124064E"/>
    <w:lvl w:ilvl="0" w:tplc="EF3A152E">
      <w:numFmt w:val="bullet"/>
      <w:lvlText w:val="-"/>
      <w:lvlJc w:val="left"/>
      <w:pPr>
        <w:ind w:left="720" w:hanging="360"/>
      </w:pPr>
      <w:rPr>
        <w:rFonts w:hint="default" w:ascii="Calibri" w:hAnsi="Calibr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9323057"/>
    <w:multiLevelType w:val="hybridMultilevel"/>
    <w:tmpl w:val="63DC8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F3E29"/>
    <w:multiLevelType w:val="hybridMultilevel"/>
    <w:tmpl w:val="BF78DC30"/>
    <w:lvl w:ilvl="0" w:tplc="9E20A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78629F"/>
    <w:multiLevelType w:val="hybridMultilevel"/>
    <w:tmpl w:val="15408B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9"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CE4766"/>
    <w:multiLevelType w:val="hybridMultilevel"/>
    <w:tmpl w:val="C67E84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02885"/>
    <w:multiLevelType w:val="hybridMultilevel"/>
    <w:tmpl w:val="895046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C9D134A"/>
    <w:multiLevelType w:val="hybridMultilevel"/>
    <w:tmpl w:val="69D800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C1589"/>
    <w:multiLevelType w:val="hybridMultilevel"/>
    <w:tmpl w:val="D3BC5DD0"/>
    <w:lvl w:ilvl="0" w:tplc="67B4EA44">
      <w:start w:val="1"/>
      <w:numFmt w:val="upperLetter"/>
      <w:lvlText w:val="%1."/>
      <w:lvlJc w:val="left"/>
      <w:pPr>
        <w:ind w:left="1440" w:hanging="720"/>
      </w:pPr>
      <w:rPr>
        <w:rFonts w:hint="default" w:cs="Times New Roman"/>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16B1C"/>
    <w:multiLevelType w:val="hybridMultilevel"/>
    <w:tmpl w:val="6CFC98E0"/>
    <w:lvl w:ilvl="0" w:tplc="CBC0031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A875471"/>
    <w:multiLevelType w:val="hybridMultilevel"/>
    <w:tmpl w:val="E536C5C8"/>
    <w:lvl w:ilvl="0" w:tplc="63B80F06">
      <w:start w:val="1"/>
      <w:numFmt w:val="decimal"/>
      <w:lvlText w:val="%1."/>
      <w:lvlJc w:val="left"/>
      <w:pPr>
        <w:ind w:left="1440" w:hanging="360"/>
      </w:pPr>
      <w:rPr>
        <w:rFonts w:eastAsia="Times New Roman" w:cs="Times New Roman" w:asciiTheme="minorHAnsi" w:hAnsi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49" w15:restartNumberingAfterBreak="0">
    <w:nsid w:val="7F814E07"/>
    <w:multiLevelType w:val="hybridMultilevel"/>
    <w:tmpl w:val="5B6004F8"/>
    <w:lvl w:ilvl="0" w:tplc="8A068404">
      <w:start w:val="1"/>
      <w:numFmt w:val="upperLetter"/>
      <w:lvlText w:val="%1."/>
      <w:lvlJc w:val="left"/>
      <w:pPr>
        <w:ind w:left="1440" w:hanging="720"/>
      </w:pPr>
      <w:rPr>
        <w:rFonts w:hint="default"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7"/>
  </w:num>
  <w:num w:numId="3">
    <w:abstractNumId w:val="32"/>
  </w:num>
  <w:num w:numId="4">
    <w:abstractNumId w:val="17"/>
  </w:num>
  <w:num w:numId="5">
    <w:abstractNumId w:val="24"/>
  </w:num>
  <w:num w:numId="6">
    <w:abstractNumId w:val="10"/>
  </w:num>
  <w:num w:numId="7">
    <w:abstractNumId w:val="22"/>
  </w:num>
  <w:num w:numId="8">
    <w:abstractNumId w:val="44"/>
  </w:num>
  <w:num w:numId="9">
    <w:abstractNumId w:val="49"/>
  </w:num>
  <w:num w:numId="10">
    <w:abstractNumId w:val="9"/>
  </w:num>
  <w:num w:numId="11">
    <w:abstractNumId w:val="33"/>
  </w:num>
  <w:num w:numId="12">
    <w:abstractNumId w:val="29"/>
  </w:num>
  <w:num w:numId="13">
    <w:abstractNumId w:val="23"/>
  </w:num>
  <w:num w:numId="14">
    <w:abstractNumId w:val="7"/>
  </w:num>
  <w:num w:numId="15">
    <w:abstractNumId w:val="37"/>
  </w:num>
  <w:num w:numId="16">
    <w:abstractNumId w:val="8"/>
  </w:num>
  <w:num w:numId="17">
    <w:abstractNumId w:val="4"/>
  </w:num>
  <w:num w:numId="18">
    <w:abstractNumId w:val="1"/>
  </w:num>
  <w:num w:numId="19">
    <w:abstractNumId w:val="16"/>
    <w:lvlOverride w:ilvl="0">
      <w:startOverride w:val="1"/>
    </w:lvlOverride>
  </w:num>
  <w:num w:numId="20">
    <w:abstractNumId w:val="48"/>
    <w:lvlOverride w:ilvl="0">
      <w:startOverride w:val="1"/>
    </w:lvlOverride>
  </w:num>
  <w:num w:numId="21">
    <w:abstractNumId w:val="28"/>
    <w:lvlOverride w:ilvl="0">
      <w:startOverride w:val="1"/>
    </w:lvlOverride>
  </w:num>
  <w:num w:numId="22">
    <w:abstractNumId w:val="6"/>
    <w:lvlOverride w:ilvl="0">
      <w:startOverride w:val="1"/>
    </w:lvlOverride>
  </w:num>
  <w:num w:numId="23">
    <w:abstractNumId w:val="15"/>
    <w:lvlOverride w:ilvl="0">
      <w:startOverride w:val="1"/>
    </w:lvlOverride>
  </w:num>
  <w:num w:numId="24">
    <w:abstractNumId w:val="12"/>
  </w:num>
  <w:num w:numId="25">
    <w:abstractNumId w:val="40"/>
  </w:num>
  <w:num w:numId="26">
    <w:abstractNumId w:val="34"/>
  </w:num>
  <w:num w:numId="27">
    <w:abstractNumId w:val="26"/>
  </w:num>
  <w:num w:numId="28">
    <w:abstractNumId w:val="14"/>
  </w:num>
  <w:num w:numId="29">
    <w:abstractNumId w:val="43"/>
  </w:num>
  <w:num w:numId="30">
    <w:abstractNumId w:val="30"/>
  </w:num>
  <w:num w:numId="31">
    <w:abstractNumId w:val="27"/>
  </w:num>
  <w:num w:numId="32">
    <w:abstractNumId w:val="31"/>
  </w:num>
  <w:num w:numId="33">
    <w:abstractNumId w:val="11"/>
  </w:num>
  <w:num w:numId="34">
    <w:abstractNumId w:val="35"/>
  </w:num>
  <w:num w:numId="35">
    <w:abstractNumId w:val="3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
  </w:num>
  <w:num w:numId="39">
    <w:abstractNumId w:val="39"/>
  </w:num>
  <w:num w:numId="40">
    <w:abstractNumId w:val="21"/>
  </w:num>
  <w:num w:numId="41">
    <w:abstractNumId w:val="5"/>
  </w:num>
  <w:num w:numId="42">
    <w:abstractNumId w:val="18"/>
  </w:num>
  <w:num w:numId="43">
    <w:abstractNumId w:val="45"/>
  </w:num>
  <w:num w:numId="44">
    <w:abstractNumId w:val="19"/>
  </w:num>
  <w:num w:numId="45">
    <w:abstractNumId w:val="2"/>
  </w:num>
  <w:num w:numId="46">
    <w:abstractNumId w:val="13"/>
  </w:num>
  <w:num w:numId="47">
    <w:abstractNumId w:val="41"/>
  </w:num>
  <w:num w:numId="48">
    <w:abstractNumId w:val="0"/>
  </w:num>
  <w:num w:numId="49">
    <w:abstractNumId w:val="46"/>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C1D7E"/>
    <w:rsid w:val="000F7EBB"/>
    <w:rsid w:val="00107C06"/>
    <w:rsid w:val="00107FD2"/>
    <w:rsid w:val="0011354E"/>
    <w:rsid w:val="0012567C"/>
    <w:rsid w:val="00126CA9"/>
    <w:rsid w:val="00150DD3"/>
    <w:rsid w:val="00155C97"/>
    <w:rsid w:val="001613E7"/>
    <w:rsid w:val="00173B8D"/>
    <w:rsid w:val="00184C84"/>
    <w:rsid w:val="00185A35"/>
    <w:rsid w:val="0018619D"/>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26D4B"/>
    <w:rsid w:val="0023060D"/>
    <w:rsid w:val="0023767C"/>
    <w:rsid w:val="00240C7B"/>
    <w:rsid w:val="00241489"/>
    <w:rsid w:val="00253587"/>
    <w:rsid w:val="00280702"/>
    <w:rsid w:val="00280A79"/>
    <w:rsid w:val="002A2CD0"/>
    <w:rsid w:val="002C12A2"/>
    <w:rsid w:val="002C3DF5"/>
    <w:rsid w:val="002C6194"/>
    <w:rsid w:val="002E1877"/>
    <w:rsid w:val="002E5109"/>
    <w:rsid w:val="002E7459"/>
    <w:rsid w:val="00317ED5"/>
    <w:rsid w:val="00322C5D"/>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6124D"/>
    <w:rsid w:val="004804EC"/>
    <w:rsid w:val="00481F06"/>
    <w:rsid w:val="00482B74"/>
    <w:rsid w:val="00483534"/>
    <w:rsid w:val="004B2252"/>
    <w:rsid w:val="004B4DD3"/>
    <w:rsid w:val="004C114B"/>
    <w:rsid w:val="004C34F3"/>
    <w:rsid w:val="004C4CB0"/>
    <w:rsid w:val="004E7D75"/>
    <w:rsid w:val="004E7E56"/>
    <w:rsid w:val="00500553"/>
    <w:rsid w:val="005136B7"/>
    <w:rsid w:val="00520C07"/>
    <w:rsid w:val="005223D1"/>
    <w:rsid w:val="00534A97"/>
    <w:rsid w:val="0053623E"/>
    <w:rsid w:val="005531A9"/>
    <w:rsid w:val="00560666"/>
    <w:rsid w:val="005609CE"/>
    <w:rsid w:val="00566B7F"/>
    <w:rsid w:val="00570529"/>
    <w:rsid w:val="00570A33"/>
    <w:rsid w:val="005712C3"/>
    <w:rsid w:val="00582019"/>
    <w:rsid w:val="005845C0"/>
    <w:rsid w:val="005944F9"/>
    <w:rsid w:val="005A42C5"/>
    <w:rsid w:val="005B442D"/>
    <w:rsid w:val="005C123F"/>
    <w:rsid w:val="005D362E"/>
    <w:rsid w:val="005E6D71"/>
    <w:rsid w:val="005E725F"/>
    <w:rsid w:val="00613BEB"/>
    <w:rsid w:val="00616B7B"/>
    <w:rsid w:val="00640130"/>
    <w:rsid w:val="00646DE4"/>
    <w:rsid w:val="0066136B"/>
    <w:rsid w:val="00681AC3"/>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631F"/>
    <w:rsid w:val="00A8376E"/>
    <w:rsid w:val="00A8607B"/>
    <w:rsid w:val="00AB408B"/>
    <w:rsid w:val="00AB509D"/>
    <w:rsid w:val="00AC3181"/>
    <w:rsid w:val="00AD203F"/>
    <w:rsid w:val="00AD381F"/>
    <w:rsid w:val="00AE2C18"/>
    <w:rsid w:val="00AF2B1C"/>
    <w:rsid w:val="00AF66EA"/>
    <w:rsid w:val="00B10D03"/>
    <w:rsid w:val="00B12B4A"/>
    <w:rsid w:val="00B154F2"/>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4FF0"/>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D702A"/>
    <w:rsid w:val="00FF3EF1"/>
    <w:rsid w:val="1D907DCC"/>
    <w:rsid w:val="4B9E8EB0"/>
    <w:rsid w:val="4CCC0B45"/>
    <w:rsid w:val="4DFBA8B1"/>
    <w:rsid w:val="56F2C2D4"/>
    <w:rsid w:val="6624CBE6"/>
    <w:rsid w:val="7D84C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hAnsi="Times New Roman" w:eastAsia="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hAnsi="Times New Roman" w:eastAsia="Times New Roman" w:cs="Arial"/>
      <w:b/>
      <w:bCs/>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styleId="p3" w:customStyle="1">
    <w:name w:val="p3"/>
    <w:basedOn w:val="Normal"/>
    <w:rsid w:val="0077502D"/>
    <w:pPr>
      <w:widowControl w:val="0"/>
      <w:tabs>
        <w:tab w:val="left" w:pos="204"/>
      </w:tabs>
      <w:autoSpaceDE w:val="0"/>
      <w:autoSpaceDN w:val="0"/>
      <w:adjustRightInd w:val="0"/>
    </w:pPr>
    <w:rPr>
      <w:rFonts w:ascii="Times New Roman" w:hAnsi="Times New Roman" w:eastAsia="Times New Roman" w:cs="Times New Roman"/>
      <w:sz w:val="24"/>
      <w:szCs w:val="24"/>
    </w:rPr>
  </w:style>
  <w:style w:type="character" w:styleId="Heading1Char" w:customStyle="1">
    <w:name w:val="Heading 1 Char"/>
    <w:basedOn w:val="DefaultParagraphFont"/>
    <w:link w:val="Heading1"/>
    <w:rsid w:val="001613E7"/>
    <w:rPr>
      <w:rFonts w:ascii="Times New Roman" w:hAnsi="Times New Roman" w:eastAsia="Times New Roman" w:cs="Arial"/>
      <w:b/>
      <w:bCs/>
      <w:kern w:val="32"/>
      <w:sz w:val="32"/>
      <w:szCs w:val="32"/>
    </w:rPr>
  </w:style>
  <w:style w:type="character" w:styleId="Heading2Char" w:customStyle="1">
    <w:name w:val="Heading 2 Char"/>
    <w:basedOn w:val="DefaultParagraphFont"/>
    <w:link w:val="Heading2"/>
    <w:rsid w:val="001613E7"/>
    <w:rPr>
      <w:rFonts w:ascii="Times New Roman" w:hAnsi="Times New Roman" w:eastAsia="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styleId="BalloonTextChar" w:customStyle="1">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39"/>
    <w:rsid w:val="00440981"/>
    <w:rPr>
      <w:rFonts w:ascii="Calibri" w:hAnsi="Calibri" w:cs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styleId="CommentTextChar" w:customStyle="1">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styleId="CommentSubjectChar" w:customStyle="1">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styleId="HeaderChar" w:customStyle="1">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styleId="FooterChar" w:customStyle="1">
    <w:name w:val="Footer Char"/>
    <w:basedOn w:val="DefaultParagraphFont"/>
    <w:link w:val="Footer"/>
    <w:uiPriority w:val="99"/>
    <w:rsid w:val="00DD23B0"/>
  </w:style>
  <w:style w:type="paragraph" w:styleId="paragraph" w:customStyle="1">
    <w:name w:val="paragraph"/>
    <w:basedOn w:val="Normal"/>
    <w:rsid w:val="0018619D"/>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18619D"/>
  </w:style>
  <w:style w:type="character" w:styleId="eop" w:customStyle="1">
    <w:name w:val="eop"/>
    <w:basedOn w:val="DefaultParagraphFont"/>
    <w:rsid w:val="0018619D"/>
  </w:style>
  <w:style w:type="paragraph" w:styleId="Default" w:customStyle="1">
    <w:name w:val="Default"/>
    <w:rsid w:val="002E5109"/>
    <w:pPr>
      <w:widowControl w:val="0"/>
      <w:autoSpaceDE w:val="0"/>
      <w:autoSpaceDN w:val="0"/>
      <w:adjustRightInd w:val="0"/>
    </w:pPr>
    <w:rPr>
      <w:rFonts w:ascii="Calibri" w:hAnsi="Calibri" w:cs="Calibri" w:eastAsiaTheme="minorEastAsia"/>
      <w:color w:val="000000"/>
      <w:sz w:val="24"/>
      <w:szCs w:val="24"/>
    </w:rPr>
  </w:style>
  <w:style w:type="paragraph" w:styleId="CM1" w:customStyle="1">
    <w:name w:val="CM1"/>
    <w:basedOn w:val="Default"/>
    <w:next w:val="Default"/>
    <w:uiPriority w:val="99"/>
    <w:rsid w:val="002E5109"/>
    <w:pPr>
      <w:spacing w:line="268" w:lineRule="atLeast"/>
    </w:pPr>
    <w:rPr>
      <w:rFonts w:cs="Times New Roman"/>
      <w:color w:val="auto"/>
    </w:rPr>
  </w:style>
  <w:style w:type="paragraph" w:styleId="CM2" w:customStyle="1">
    <w:name w:val="CM2"/>
    <w:basedOn w:val="Default"/>
    <w:next w:val="Default"/>
    <w:uiPriority w:val="99"/>
    <w:rsid w:val="002E510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eader" Target="header.xml" Id="R0e7dc28547ca40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F5DB4-5FE1-47F2-AD25-C451A705334D}">
  <ds:schemaRefs>
    <ds:schemaRef ds:uri="http://schemas.openxmlformats.org/officeDocument/2006/bibliography"/>
  </ds:schemaRefs>
</ds:datastoreItem>
</file>

<file path=customXml/itemProps2.xml><?xml version="1.0" encoding="utf-8"?>
<ds:datastoreItem xmlns:ds="http://schemas.openxmlformats.org/officeDocument/2006/customXml" ds:itemID="{2F284A4B-749B-45B2-A311-BAA09035B122}"/>
</file>

<file path=customXml/itemProps3.xml><?xml version="1.0" encoding="utf-8"?>
<ds:datastoreItem xmlns:ds="http://schemas.openxmlformats.org/officeDocument/2006/customXml" ds:itemID="{AA154C96-81CF-4750-A3CE-D201B8054823}"/>
</file>

<file path=customXml/itemProps4.xml><?xml version="1.0" encoding="utf-8"?>
<ds:datastoreItem xmlns:ds="http://schemas.openxmlformats.org/officeDocument/2006/customXml" ds:itemID="{C2A9845E-C366-4CBD-AEE0-11A0CC8214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KSU College of Veterinary Medicine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catsadm</dc:creator>
  <keywords/>
  <dc:description/>
  <lastModifiedBy>Dakota Nelson</lastModifiedBy>
  <revision>3</revision>
  <lastPrinted>2013-02-20T15:10:00.0000000Z</lastPrinted>
  <dcterms:created xsi:type="dcterms:W3CDTF">2022-06-06T20:08:00.0000000Z</dcterms:created>
  <dcterms:modified xsi:type="dcterms:W3CDTF">2023-09-21T15:39:03.7385968Z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